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4C706" w14:textId="6BC4BCD2" w:rsidR="002C3774" w:rsidRDefault="002C3774" w:rsidP="00525325">
      <w:pPr>
        <w:jc w:val="both"/>
      </w:pPr>
      <w:r>
        <w:t>{{</w:t>
      </w:r>
      <w:r w:rsidRPr="00525325">
        <w:rPr>
          <w:highlight w:val="yellow"/>
        </w:rPr>
        <w:t>Parent contact</w:t>
      </w:r>
      <w:r>
        <w:t>}}</w:t>
      </w:r>
    </w:p>
    <w:p w14:paraId="574C53DC" w14:textId="3316DC84" w:rsidR="002C3774" w:rsidRDefault="002C3774" w:rsidP="00525325">
      <w:pPr>
        <w:jc w:val="both"/>
      </w:pPr>
      <w:r>
        <w:t>{{</w:t>
      </w:r>
      <w:r w:rsidRPr="00525325">
        <w:rPr>
          <w:highlight w:val="yellow"/>
        </w:rPr>
        <w:t>date</w:t>
      </w:r>
      <w:r>
        <w:t>}}</w:t>
      </w:r>
    </w:p>
    <w:p w14:paraId="0F392096" w14:textId="1F6BE856" w:rsidR="002C3774" w:rsidRDefault="002C3774" w:rsidP="00525325">
      <w:pPr>
        <w:jc w:val="both"/>
      </w:pPr>
      <w:r>
        <w:t>{{</w:t>
      </w:r>
      <w:r w:rsidRPr="00525325">
        <w:rPr>
          <w:highlight w:val="yellow"/>
        </w:rPr>
        <w:t>School contact</w:t>
      </w:r>
      <w:r>
        <w:t>}}</w:t>
      </w:r>
    </w:p>
    <w:p w14:paraId="790BAE02" w14:textId="5B74143C" w:rsidR="005E7727" w:rsidRDefault="002C3774" w:rsidP="00525325">
      <w:pPr>
        <w:jc w:val="both"/>
      </w:pPr>
      <w:r>
        <w:t>Dear {{</w:t>
      </w:r>
      <w:r w:rsidRPr="00525325">
        <w:rPr>
          <w:highlight w:val="yellow"/>
        </w:rPr>
        <w:t>administrator</w:t>
      </w:r>
      <w:r>
        <w:t>}}:</w:t>
      </w:r>
    </w:p>
    <w:p w14:paraId="0F2976B4" w14:textId="6DAD5FFD" w:rsidR="002C3774" w:rsidRDefault="002C3774" w:rsidP="00525325">
      <w:pPr>
        <w:jc w:val="both"/>
      </w:pPr>
      <w:r>
        <w:t>I am writing to request an accommodation for my child</w:t>
      </w:r>
      <w:r w:rsidR="00B57104">
        <w:t>.</w:t>
      </w:r>
      <w:r>
        <w:t xml:space="preserve"> </w:t>
      </w:r>
    </w:p>
    <w:p w14:paraId="70F0823A" w14:textId="1B09A9FE" w:rsidR="002C3774" w:rsidRDefault="002C3774" w:rsidP="00525325">
      <w:pPr>
        <w:jc w:val="both"/>
      </w:pPr>
      <w:r>
        <w:t>My child, {{</w:t>
      </w:r>
      <w:r w:rsidRPr="002C3774">
        <w:rPr>
          <w:highlight w:val="yellow"/>
        </w:rPr>
        <w:t>name</w:t>
      </w:r>
      <w:r>
        <w:t>}}, received a diagnosis of Attention Deficit Hyperactivity Disorder in {{</w:t>
      </w:r>
      <w:r w:rsidRPr="002C3774">
        <w:rPr>
          <w:highlight w:val="yellow"/>
        </w:rPr>
        <w:t>year</w:t>
      </w:r>
      <w:r>
        <w:t xml:space="preserve">}}. This condition, in combination with the way that apps and websites are intentionally designed to manipulate users’ attention, make it extremely difficult for </w:t>
      </w:r>
      <w:r w:rsidR="003D0541">
        <w:t>{{</w:t>
      </w:r>
      <w:r w:rsidR="003D0541" w:rsidRPr="003D0541">
        <w:rPr>
          <w:highlight w:val="yellow"/>
        </w:rPr>
        <w:t>name</w:t>
      </w:r>
      <w:r w:rsidR="003D0541">
        <w:t xml:space="preserve">}} </w:t>
      </w:r>
      <w:r>
        <w:t xml:space="preserve">to control where </w:t>
      </w:r>
      <w:r w:rsidR="00C83C7D">
        <w:t>{{</w:t>
      </w:r>
      <w:r w:rsidR="00C83C7D" w:rsidRPr="00C83C7D">
        <w:rPr>
          <w:highlight w:val="yellow"/>
        </w:rPr>
        <w:t>he/she</w:t>
      </w:r>
      <w:r w:rsidR="00C83C7D">
        <w:t>/</w:t>
      </w:r>
      <w:r w:rsidR="00C83C7D" w:rsidRPr="00C83C7D">
        <w:rPr>
          <w:highlight w:val="yellow"/>
        </w:rPr>
        <w:t>they</w:t>
      </w:r>
      <w:r w:rsidR="00C83C7D">
        <w:t xml:space="preserve">}} </w:t>
      </w:r>
      <w:r>
        <w:t>go</w:t>
      </w:r>
      <w:r w:rsidR="00C83C7D">
        <w:t>es</w:t>
      </w:r>
      <w:r>
        <w:t xml:space="preserve"> online. </w:t>
      </w:r>
      <w:r w:rsidR="00783A0F">
        <w:t>(</w:t>
      </w:r>
      <w:r>
        <w:t>Indeed, many adults struggle with overuse of social media and gaming apps for the same reason.</w:t>
      </w:r>
      <w:r w:rsidR="00783A0F">
        <w:t>)</w:t>
      </w:r>
    </w:p>
    <w:p w14:paraId="5FE9A515" w14:textId="21FA5D1C" w:rsidR="002C3774" w:rsidRDefault="003D0541" w:rsidP="00525325">
      <w:pPr>
        <w:jc w:val="both"/>
      </w:pPr>
      <w:r>
        <w:t>T</w:t>
      </w:r>
      <w:r w:rsidR="002C3774">
        <w:t xml:space="preserve">o create an educational environment that can set </w:t>
      </w:r>
      <w:r>
        <w:t>{{</w:t>
      </w:r>
      <w:r w:rsidRPr="003D0541">
        <w:rPr>
          <w:highlight w:val="yellow"/>
        </w:rPr>
        <w:t>name</w:t>
      </w:r>
      <w:r>
        <w:t xml:space="preserve">}} </w:t>
      </w:r>
      <w:r w:rsidR="002C3774">
        <w:t xml:space="preserve">up for success at school, I request that you block </w:t>
      </w:r>
      <w:r>
        <w:t>{{</w:t>
      </w:r>
      <w:r w:rsidRPr="003D0541">
        <w:rPr>
          <w:highlight w:val="yellow"/>
        </w:rPr>
        <w:t>his/her/their</w:t>
      </w:r>
      <w:r>
        <w:t xml:space="preserve">}} access to </w:t>
      </w:r>
      <w:r w:rsidR="00525325">
        <w:t xml:space="preserve">at least </w:t>
      </w:r>
      <w:r>
        <w:t>the following apps and websites:</w:t>
      </w:r>
    </w:p>
    <w:p w14:paraId="54A03C31" w14:textId="3C069EFA" w:rsidR="003D0541" w:rsidRDefault="003D0541" w:rsidP="00525325">
      <w:pPr>
        <w:pStyle w:val="ListParagraph"/>
        <w:numPr>
          <w:ilvl w:val="0"/>
          <w:numId w:val="23"/>
        </w:numPr>
        <w:jc w:val="both"/>
      </w:pPr>
      <w:r>
        <w:t>ChatGPT</w:t>
      </w:r>
      <w:r w:rsidR="00DC106D">
        <w:t xml:space="preserve"> (OpenAI)</w:t>
      </w:r>
    </w:p>
    <w:p w14:paraId="25B89D15" w14:textId="379BF1AB" w:rsidR="003D0541" w:rsidRDefault="003D0541" w:rsidP="00525325">
      <w:pPr>
        <w:pStyle w:val="ListParagraph"/>
        <w:numPr>
          <w:ilvl w:val="0"/>
          <w:numId w:val="23"/>
        </w:numPr>
        <w:jc w:val="both"/>
      </w:pPr>
      <w:r>
        <w:t>Fortnite</w:t>
      </w:r>
      <w:r w:rsidR="00DC106D">
        <w:t xml:space="preserve"> (Epic Games)</w:t>
      </w:r>
    </w:p>
    <w:p w14:paraId="57FEE313" w14:textId="1E7E4C8F" w:rsidR="003D0541" w:rsidRDefault="003D0541" w:rsidP="00525325">
      <w:pPr>
        <w:pStyle w:val="ListParagraph"/>
        <w:numPr>
          <w:ilvl w:val="0"/>
          <w:numId w:val="23"/>
        </w:numPr>
        <w:jc w:val="both"/>
      </w:pPr>
      <w:r>
        <w:t>Roblox</w:t>
      </w:r>
    </w:p>
    <w:p w14:paraId="6D1314B8" w14:textId="1E10CDFD" w:rsidR="003D0541" w:rsidRDefault="003D0541" w:rsidP="00525325">
      <w:pPr>
        <w:pStyle w:val="ListParagraph"/>
        <w:numPr>
          <w:ilvl w:val="0"/>
          <w:numId w:val="23"/>
        </w:numPr>
        <w:jc w:val="both"/>
      </w:pPr>
      <w:r>
        <w:t>Minecraft</w:t>
      </w:r>
      <w:r w:rsidR="00DC106D">
        <w:t xml:space="preserve"> (Microsoft)</w:t>
      </w:r>
    </w:p>
    <w:p w14:paraId="03112795" w14:textId="64C59668" w:rsidR="003D0541" w:rsidRDefault="003D0541" w:rsidP="00525325">
      <w:pPr>
        <w:pStyle w:val="ListParagraph"/>
        <w:numPr>
          <w:ilvl w:val="0"/>
          <w:numId w:val="23"/>
        </w:numPr>
        <w:jc w:val="both"/>
      </w:pPr>
      <w:r>
        <w:t>YouTube</w:t>
      </w:r>
      <w:r w:rsidR="00DC106D">
        <w:t xml:space="preserve"> (Google)</w:t>
      </w:r>
    </w:p>
    <w:p w14:paraId="36C4FC0E" w14:textId="08D961B9" w:rsidR="003D0541" w:rsidRDefault="003D0541" w:rsidP="00525325">
      <w:pPr>
        <w:jc w:val="both"/>
      </w:pPr>
      <w:r>
        <w:t xml:space="preserve">In addition, </w:t>
      </w:r>
      <w:r w:rsidR="00F1775E">
        <w:t xml:space="preserve">many of </w:t>
      </w:r>
      <w:r>
        <w:t xml:space="preserve">these companies’ own terms of service require parental permission or supervision before a child </w:t>
      </w:r>
      <w:r w:rsidR="00F1775E">
        <w:t xml:space="preserve">under 18 </w:t>
      </w:r>
      <w:r>
        <w:t>may use them</w:t>
      </w:r>
      <w:r w:rsidR="00F1775E">
        <w:t>, and forbid users under 13</w:t>
      </w:r>
      <w:r>
        <w:t>. {{</w:t>
      </w:r>
      <w:r w:rsidR="00E876AC" w:rsidRPr="00E876AC">
        <w:rPr>
          <w:highlight w:val="yellow"/>
        </w:rPr>
        <w:t>Name</w:t>
      </w:r>
      <w:r>
        <w:t xml:space="preserve">}} </w:t>
      </w:r>
      <w:r w:rsidR="00F1775E">
        <w:t>{{</w:t>
      </w:r>
      <w:r w:rsidRPr="00F1775E">
        <w:rPr>
          <w:highlight w:val="yellow"/>
        </w:rPr>
        <w:t>is under 13</w:t>
      </w:r>
      <w:r w:rsidR="00F1775E">
        <w:t>}}</w:t>
      </w:r>
      <w:r>
        <w:t xml:space="preserve"> and does not have my permission to use these services at school</w:t>
      </w:r>
      <w:r w:rsidR="00F244B7">
        <w:t xml:space="preserve"> or</w:t>
      </w:r>
      <w:r>
        <w:t xml:space="preserve"> </w:t>
      </w:r>
      <w:r w:rsidR="00F244B7">
        <w:t>outside my supervision</w:t>
      </w:r>
      <w:r>
        <w:t xml:space="preserve">. </w:t>
      </w:r>
    </w:p>
    <w:p w14:paraId="1612FB97" w14:textId="01B8A95C" w:rsidR="00DC106D" w:rsidRDefault="009538B1" w:rsidP="00525325">
      <w:pPr>
        <w:jc w:val="both"/>
      </w:pPr>
      <w:r>
        <w:rPr>
          <w:b/>
          <w:bCs/>
          <w:u w:val="single"/>
        </w:rPr>
        <w:t>ChatGPT.</w:t>
      </w:r>
      <w:r>
        <w:t xml:space="preserve"> </w:t>
      </w:r>
      <w:r w:rsidR="00DC106D">
        <w:t>ChatGPT’s terms of service</w:t>
      </w:r>
      <w:r w:rsidR="00C83C7D">
        <w:t xml:space="preserve"> (</w:t>
      </w:r>
      <w:hyperlink r:id="rId5" w:history="1">
        <w:r w:rsidR="00C83C7D" w:rsidRPr="00305A73">
          <w:rPr>
            <w:rStyle w:val="Hyperlink"/>
          </w:rPr>
          <w:t>https://openai.com/policies/row-terms-of-use/</w:t>
        </w:r>
      </w:hyperlink>
      <w:r w:rsidR="00C83C7D">
        <w:t xml:space="preserve">), dated December 11, 2024, </w:t>
      </w:r>
      <w:r w:rsidR="00DC106D">
        <w:t>provide that:</w:t>
      </w:r>
    </w:p>
    <w:p w14:paraId="0EF3C066" w14:textId="77777777" w:rsidR="00C83C7D" w:rsidRPr="00C83C7D" w:rsidRDefault="00C83C7D" w:rsidP="00525325">
      <w:pPr>
        <w:ind w:left="720"/>
        <w:jc w:val="both"/>
        <w:rPr>
          <w:i/>
          <w:iCs/>
        </w:rPr>
      </w:pPr>
      <w:r w:rsidRPr="00C83C7D">
        <w:rPr>
          <w:b/>
          <w:bCs/>
          <w:i/>
          <w:iCs/>
        </w:rPr>
        <w:t xml:space="preserve">Minimum age. </w:t>
      </w:r>
      <w:r w:rsidRPr="00C83C7D">
        <w:rPr>
          <w:i/>
          <w:iCs/>
        </w:rPr>
        <w:t xml:space="preserve">You must be at least 13 years old or the minimum age required in your country to consent to use the Services. If you are under 18 you must have your parent or legal guardian’s permission to use the Services. </w:t>
      </w:r>
    </w:p>
    <w:p w14:paraId="6F026A59" w14:textId="1119F973" w:rsidR="00DC106D" w:rsidRPr="00C83C7D" w:rsidRDefault="00C83C7D" w:rsidP="00525325">
      <w:pPr>
        <w:ind w:left="720"/>
        <w:jc w:val="both"/>
        <w:rPr>
          <w:i/>
          <w:iCs/>
        </w:rPr>
      </w:pPr>
      <w:r w:rsidRPr="00C83C7D">
        <w:rPr>
          <w:b/>
          <w:bCs/>
          <w:i/>
          <w:iCs/>
        </w:rPr>
        <w:t xml:space="preserve">Registration. </w:t>
      </w:r>
      <w:r w:rsidRPr="00C83C7D">
        <w:rPr>
          <w:i/>
          <w:iCs/>
        </w:rPr>
        <w:t>You must provide accurate and complete information to register for an account to use our Services. You may not share your account credentials or make your account available to anyone else and are responsible for all activities that occur under your account. If you create an account or use the Services on behalf of another person or entity, you must have the authority to accept these Terms on their behalf.</w:t>
      </w:r>
    </w:p>
    <w:p w14:paraId="6386D28D" w14:textId="3F8E3AC0" w:rsidR="00DC106D" w:rsidRDefault="00E876AC" w:rsidP="00525325">
      <w:pPr>
        <w:jc w:val="both"/>
      </w:pPr>
      <w:r>
        <w:t>{{</w:t>
      </w:r>
      <w:r w:rsidRPr="00E876AC">
        <w:rPr>
          <w:highlight w:val="yellow"/>
        </w:rPr>
        <w:t>Name</w:t>
      </w:r>
      <w:r>
        <w:t xml:space="preserve">}} </w:t>
      </w:r>
      <w:r w:rsidR="00F1775E">
        <w:t>{{</w:t>
      </w:r>
      <w:r w:rsidRPr="00F1775E">
        <w:rPr>
          <w:highlight w:val="yellow"/>
        </w:rPr>
        <w:t>is under 13 and</w:t>
      </w:r>
      <w:r w:rsidR="00F1775E">
        <w:t>}}</w:t>
      </w:r>
      <w:r>
        <w:t xml:space="preserve"> does not have my permission to use ChatGPT.</w:t>
      </w:r>
    </w:p>
    <w:p w14:paraId="47847951" w14:textId="5F096F13" w:rsidR="00E876AC" w:rsidRDefault="009538B1" w:rsidP="00525325">
      <w:pPr>
        <w:jc w:val="both"/>
      </w:pPr>
      <w:r>
        <w:rPr>
          <w:b/>
          <w:bCs/>
          <w:u w:val="single"/>
        </w:rPr>
        <w:t>Fortnite.</w:t>
      </w:r>
      <w:r w:rsidRPr="009538B1">
        <w:rPr>
          <w:b/>
          <w:bCs/>
        </w:rPr>
        <w:t xml:space="preserve"> </w:t>
      </w:r>
      <w:r w:rsidR="00E876AC">
        <w:t>Fortnite’s terms of service (</w:t>
      </w:r>
      <w:hyperlink r:id="rId6" w:history="1">
        <w:r w:rsidR="00F1775E" w:rsidRPr="0011424D">
          <w:rPr>
            <w:rStyle w:val="Hyperlink"/>
          </w:rPr>
          <w:t>https://legal.epicgames.com/en-US/epicgames/tos)</w:t>
        </w:r>
      </w:hyperlink>
      <w:r w:rsidR="00F1775E">
        <w:t xml:space="preserve"> dated</w:t>
      </w:r>
      <w:r w:rsidR="00A94D76">
        <w:t xml:space="preserve"> August 15</w:t>
      </w:r>
      <w:r w:rsidR="00E876AC">
        <w:t>, 2025, provide that</w:t>
      </w:r>
    </w:p>
    <w:p w14:paraId="52BDD8FE" w14:textId="2B9248FD" w:rsidR="00E876AC" w:rsidRDefault="00A94D76" w:rsidP="00525325">
      <w:pPr>
        <w:ind w:left="720"/>
        <w:jc w:val="both"/>
      </w:pPr>
      <w:r w:rsidRPr="00A94D76">
        <w:rPr>
          <w:i/>
          <w:iCs/>
        </w:rPr>
        <w:t xml:space="preserve">TO ENTER INTO THE CONTRACT CREATED BY THESE TERMS, YOU MUST BE AN ADULT OF THE LEGAL AGE OF MAJORITY IN YOUR COUNTRY OF RESIDENCE. YOU ARE LEGALLY AND FINANCIALLY RESPONSIBLE FOR ALL ACTIONS USING OR ACCESSING OUR SOFTWARE, </w:t>
      </w:r>
      <w:r w:rsidRPr="00A94D76">
        <w:rPr>
          <w:i/>
          <w:iCs/>
        </w:rPr>
        <w:lastRenderedPageBreak/>
        <w:t>INCLUDING THE ACTIONS OF ANYONE YOU ALLOW TO ACCESS TO YOUR ACCOUNT. YOU AFFIRM THAT YOU HAVE REACHED THE LEGAL AGE OF MAJORITY, UNDERSTAND AND ACCEPT THESE TERMS (INCLUDING ITS DISPUTE RESOLUTION TERMS). IF YOU ARE UNDER THE LEGAL AGE OF MAJORITY, YOUR PARENT OR LEGAL GUARDIAN MUST CONSENT TO THESE TERMS.</w:t>
      </w:r>
    </w:p>
    <w:p w14:paraId="7E6443D5" w14:textId="532240EB" w:rsidR="00A94D76" w:rsidRDefault="00A94D76" w:rsidP="00525325">
      <w:pPr>
        <w:jc w:val="both"/>
      </w:pPr>
      <w:r>
        <w:t>{{</w:t>
      </w:r>
      <w:r w:rsidRPr="00F1775E">
        <w:rPr>
          <w:highlight w:val="yellow"/>
        </w:rPr>
        <w:t>Name</w:t>
      </w:r>
      <w:r>
        <w:t xml:space="preserve">}} has not reached the legal age of majority, I do not consent to the terms. </w:t>
      </w:r>
    </w:p>
    <w:p w14:paraId="6D48DAF1" w14:textId="2DDDACC0" w:rsidR="00F1775E" w:rsidRDefault="009538B1" w:rsidP="00525325">
      <w:pPr>
        <w:jc w:val="both"/>
      </w:pPr>
      <w:r w:rsidRPr="009538B1">
        <w:rPr>
          <w:b/>
          <w:bCs/>
          <w:u w:val="single"/>
        </w:rPr>
        <w:t>Roblox.</w:t>
      </w:r>
      <w:r>
        <w:rPr>
          <w:b/>
          <w:bCs/>
        </w:rPr>
        <w:t xml:space="preserve"> </w:t>
      </w:r>
      <w:r w:rsidR="00F1775E">
        <w:t>Roblox’s terms of service (</w:t>
      </w:r>
      <w:hyperlink r:id="rId7" w:history="1">
        <w:r w:rsidR="00F1775E" w:rsidRPr="0011424D">
          <w:rPr>
            <w:rStyle w:val="Hyperlink"/>
          </w:rPr>
          <w:t>https://en.help.roblox.com/hc/en-us/articles/115004647846-Roblox-Terms-of-Use</w:t>
        </w:r>
      </w:hyperlink>
      <w:r w:rsidR="00F1775E">
        <w:t>) dated September 17, 2025, and its undated FAQ “What happens as I get older on Roblox” (</w:t>
      </w:r>
      <w:hyperlink r:id="rId8" w:history="1">
        <w:r w:rsidR="00F1775E" w:rsidRPr="0011424D">
          <w:rPr>
            <w:rStyle w:val="Hyperlink"/>
          </w:rPr>
          <w:t>https://en.help.roblox.com/hc/en-us/articles/30428367965460-What-happens-as-I-get-older-on-Roblox</w:t>
        </w:r>
      </w:hyperlink>
      <w:r w:rsidR="00F1775E">
        <w:t>)</w:t>
      </w:r>
      <w:r>
        <w:t>,</w:t>
      </w:r>
      <w:r w:rsidR="00F1775E">
        <w:t xml:space="preserve"> provide different experiences based on user ages. Users between the age of 13 and 17 can chat with strangers and can publicly reveal their phone number and email address; </w:t>
      </w:r>
      <w:r w:rsidR="00F244B7">
        <w:t xml:space="preserve">in addition, </w:t>
      </w:r>
      <w:r w:rsidR="00F1775E">
        <w:t xml:space="preserve">they are no longer subject to any spending or screen time limitations. </w:t>
      </w:r>
    </w:p>
    <w:p w14:paraId="07D1048F" w14:textId="55590C95" w:rsidR="00F1775E" w:rsidRDefault="00F1775E" w:rsidP="00525325">
      <w:pPr>
        <w:jc w:val="both"/>
      </w:pPr>
      <w:r>
        <w:t>I do not consent to {{</w:t>
      </w:r>
      <w:r w:rsidRPr="00F1775E">
        <w:rPr>
          <w:highlight w:val="yellow"/>
        </w:rPr>
        <w:t>name</w:t>
      </w:r>
      <w:r>
        <w:t xml:space="preserve">}} using Roblox, contacting strangers through Roblox, or spending money on Roblox. </w:t>
      </w:r>
    </w:p>
    <w:p w14:paraId="60DA24FE" w14:textId="3248496C" w:rsidR="00A94D76" w:rsidRDefault="009538B1" w:rsidP="00525325">
      <w:pPr>
        <w:jc w:val="both"/>
      </w:pPr>
      <w:r>
        <w:rPr>
          <w:b/>
          <w:bCs/>
          <w:u w:val="single"/>
        </w:rPr>
        <w:t>Minecraft.</w:t>
      </w:r>
      <w:r w:rsidRPr="009538B1">
        <w:t xml:space="preserve"> </w:t>
      </w:r>
      <w:r>
        <w:t>Minecraft’s undated Terms of Service (</w:t>
      </w:r>
      <w:hyperlink r:id="rId9" w:history="1">
        <w:r w:rsidRPr="0011424D">
          <w:rPr>
            <w:rStyle w:val="Hyperlink"/>
          </w:rPr>
          <w:t>https://www.minecraft.net/en-us/eula</w:t>
        </w:r>
      </w:hyperlink>
      <w:r>
        <w:t>) provide that a parent or legal guardian is responsible for the creation of a minor’s Minecraft account and the acceptance of all terms on the minors’ behalf, and further that Microsoft’s October 2025 privacy policy (</w:t>
      </w:r>
      <w:hyperlink r:id="rId10" w:history="1">
        <w:r w:rsidRPr="0011424D">
          <w:rPr>
            <w:rStyle w:val="Hyperlink"/>
          </w:rPr>
          <w:t>https://www.microsoft.com/en-us/privacy/privacystatement</w:t>
        </w:r>
      </w:hyperlink>
      <w:r>
        <w:t xml:space="preserve">) governs the use of Minecraft. Microsoft’s privacy policy provides that: </w:t>
      </w:r>
    </w:p>
    <w:p w14:paraId="29FF2AE8" w14:textId="77777777" w:rsidR="009538B1" w:rsidRDefault="009538B1" w:rsidP="00525325">
      <w:pPr>
        <w:ind w:left="720"/>
        <w:jc w:val="both"/>
      </w:pPr>
      <w:r>
        <w:t>For users under the age of 13 or as specified by law in their jurisdiction, certain Microsoft products and services will either block users under that age or will ask them to obtain consent or authorization from a parent or guardian before they can use it, including when creating an account to access Microsoft services. We will not knowingly ask children under that age to provide more data than is required to provide for the product.</w:t>
      </w:r>
    </w:p>
    <w:p w14:paraId="70D97D15" w14:textId="3D2362D5" w:rsidR="009538B1" w:rsidRDefault="009538B1" w:rsidP="00525325">
      <w:pPr>
        <w:ind w:left="720"/>
        <w:jc w:val="both"/>
      </w:pPr>
      <w:r>
        <w:t>Once parental consent or authorization is granted, the child's account is treated much like any other account.</w:t>
      </w:r>
    </w:p>
    <w:p w14:paraId="5CFB018D" w14:textId="407939A4" w:rsidR="009538B1" w:rsidRDefault="009538B1" w:rsidP="00525325">
      <w:pPr>
        <w:jc w:val="both"/>
      </w:pPr>
      <w:r>
        <w:t>{{</w:t>
      </w:r>
      <w:r w:rsidRPr="00424DF7">
        <w:rPr>
          <w:highlight w:val="yellow"/>
        </w:rPr>
        <w:t>Name</w:t>
      </w:r>
      <w:r>
        <w:t xml:space="preserve">}} is under 13, </w:t>
      </w:r>
      <w:r w:rsidR="00424DF7">
        <w:t>I do not consent to {{</w:t>
      </w:r>
      <w:r w:rsidR="00424DF7" w:rsidRPr="00525325">
        <w:rPr>
          <w:highlight w:val="yellow"/>
        </w:rPr>
        <w:t>name</w:t>
      </w:r>
      <w:r w:rsidR="00424DF7">
        <w:t xml:space="preserve">}} playing Minecraft, </w:t>
      </w:r>
      <w:r>
        <w:t xml:space="preserve">and I do not consent to Microsoft’s terms of service. </w:t>
      </w:r>
    </w:p>
    <w:p w14:paraId="33E70756" w14:textId="7A01CD85" w:rsidR="009538B1" w:rsidRDefault="009538B1" w:rsidP="00525325">
      <w:pPr>
        <w:jc w:val="both"/>
      </w:pPr>
      <w:r>
        <w:rPr>
          <w:b/>
          <w:bCs/>
          <w:u w:val="single"/>
        </w:rPr>
        <w:t>YouTube</w:t>
      </w:r>
      <w:r w:rsidRPr="009538B1">
        <w:rPr>
          <w:b/>
          <w:bCs/>
          <w:u w:val="single"/>
        </w:rPr>
        <w:t>.</w:t>
      </w:r>
      <w:r w:rsidRPr="00424DF7">
        <w:t xml:space="preserve"> </w:t>
      </w:r>
      <w:r w:rsidR="00424DF7" w:rsidRPr="00424DF7">
        <w:t>YouTube</w:t>
      </w:r>
      <w:r w:rsidR="00424DF7">
        <w:t>’s terms of service (</w:t>
      </w:r>
      <w:hyperlink r:id="rId11" w:history="1">
        <w:r w:rsidR="00424DF7" w:rsidRPr="0011424D">
          <w:rPr>
            <w:rStyle w:val="Hyperlink"/>
          </w:rPr>
          <w:t>https://www.youtube.com/static?template=terms</w:t>
        </w:r>
      </w:hyperlink>
      <w:r w:rsidR="00424DF7">
        <w:t>), dated December 1</w:t>
      </w:r>
      <w:r w:rsidR="00525325">
        <w:t>5</w:t>
      </w:r>
      <w:r w:rsidR="00424DF7">
        <w:t>, 2023  provid</w:t>
      </w:r>
      <w:r w:rsidR="00525325">
        <w:t>e:</w:t>
      </w:r>
    </w:p>
    <w:p w14:paraId="49FEC8F1" w14:textId="4B6743FE" w:rsidR="00525325" w:rsidRPr="00525325" w:rsidRDefault="00525325" w:rsidP="00525325">
      <w:pPr>
        <w:ind w:left="720"/>
        <w:jc w:val="both"/>
        <w:rPr>
          <w:b/>
          <w:bCs/>
        </w:rPr>
      </w:pPr>
      <w:r w:rsidRPr="00525325">
        <w:rPr>
          <w:b/>
          <w:bCs/>
        </w:rPr>
        <w:t>A</w:t>
      </w:r>
      <w:r w:rsidRPr="00525325">
        <w:rPr>
          <w:b/>
          <w:bCs/>
        </w:rPr>
        <w:t>ge Requirements</w:t>
      </w:r>
    </w:p>
    <w:p w14:paraId="4E6F9832" w14:textId="77777777" w:rsidR="00525325" w:rsidRPr="00525325" w:rsidRDefault="00525325" w:rsidP="00525325">
      <w:pPr>
        <w:ind w:left="720"/>
        <w:jc w:val="both"/>
      </w:pPr>
      <w:r w:rsidRPr="00525325">
        <w:t>You must be at least 13 years old to use the Service; however, children of all ages may use the Service and YouTube Kids (where available) if enabled by a parent or legal guardian.</w:t>
      </w:r>
    </w:p>
    <w:p w14:paraId="5959D0E2" w14:textId="77777777" w:rsidR="00525325" w:rsidRPr="00525325" w:rsidRDefault="00525325" w:rsidP="00525325">
      <w:pPr>
        <w:ind w:left="720"/>
        <w:jc w:val="both"/>
        <w:rPr>
          <w:b/>
          <w:bCs/>
        </w:rPr>
      </w:pPr>
      <w:r w:rsidRPr="00525325">
        <w:rPr>
          <w:b/>
          <w:bCs/>
        </w:rPr>
        <w:t>Permission by Parent or Guardian</w:t>
      </w:r>
    </w:p>
    <w:p w14:paraId="14C5E7EB" w14:textId="77777777" w:rsidR="00525325" w:rsidRPr="00525325" w:rsidRDefault="00525325" w:rsidP="00525325">
      <w:pPr>
        <w:ind w:left="720"/>
        <w:jc w:val="both"/>
      </w:pPr>
      <w:r w:rsidRPr="00525325">
        <w:t>If you are under 18, you represent that you have your parent or guardian’s permission to use the Service. Please have them read this Agreement with you.</w:t>
      </w:r>
    </w:p>
    <w:p w14:paraId="6DEBB717" w14:textId="5D66CA2F" w:rsidR="00525325" w:rsidRDefault="00525325" w:rsidP="00525325">
      <w:pPr>
        <w:ind w:left="720"/>
        <w:jc w:val="both"/>
      </w:pPr>
      <w:r w:rsidRPr="00525325">
        <w:lastRenderedPageBreak/>
        <w:t>If you are a parent or legal guardian of a user under the age of 18, by allowing your child to use the Service, you are subject to the terms of this Agreement and responsible for your child’s activity on the Service. You can find tools and resources to help you manage your family’s experience on YouTube (including how to enable a child under the age of 13 to use the Service and YouTube Kids) in our Help Center and through Google’s Family Link.</w:t>
      </w:r>
    </w:p>
    <w:p w14:paraId="078455B5" w14:textId="63AE8E31" w:rsidR="00525325" w:rsidRDefault="00525325" w:rsidP="00525325">
      <w:pPr>
        <w:jc w:val="both"/>
      </w:pPr>
      <w:r>
        <w:t>{{</w:t>
      </w:r>
      <w:r w:rsidRPr="00525325">
        <w:rPr>
          <w:highlight w:val="yellow"/>
        </w:rPr>
        <w:t>Name</w:t>
      </w:r>
      <w:r>
        <w:t>}} {{</w:t>
      </w:r>
      <w:r w:rsidRPr="00525325">
        <w:rPr>
          <w:highlight w:val="yellow"/>
        </w:rPr>
        <w:t>is under 13</w:t>
      </w:r>
      <w:r>
        <w:t xml:space="preserve"> </w:t>
      </w:r>
      <w:r w:rsidRPr="00525325">
        <w:rPr>
          <w:highlight w:val="yellow"/>
        </w:rPr>
        <w:t>and</w:t>
      </w:r>
      <w:r>
        <w:t>}} does not have my permission to use YouTube or YouTube Kids.</w:t>
      </w:r>
    </w:p>
    <w:p w14:paraId="6A1CC0A1" w14:textId="74DD8DD3" w:rsidR="00525325" w:rsidRDefault="00525325" w:rsidP="00525325">
      <w:pPr>
        <w:jc w:val="both"/>
      </w:pPr>
      <w:r>
        <w:t>There may be other applications or websites that {{</w:t>
      </w:r>
      <w:r w:rsidRPr="00525325">
        <w:rPr>
          <w:highlight w:val="yellow"/>
        </w:rPr>
        <w:t>name</w:t>
      </w:r>
      <w:r>
        <w:t xml:space="preserve">}} may access at school, of which I may be unaware but which nevertheless require my permission. </w:t>
      </w:r>
    </w:p>
    <w:p w14:paraId="07C3F7D0" w14:textId="2CDBAC4B" w:rsidR="00525325" w:rsidRDefault="00525325" w:rsidP="00525325">
      <w:pPr>
        <w:jc w:val="both"/>
      </w:pPr>
      <w:r>
        <w:t>Please understand that, above all, I do not want {{</w:t>
      </w:r>
      <w:r w:rsidRPr="00525325">
        <w:rPr>
          <w:highlight w:val="yellow"/>
        </w:rPr>
        <w:t>name</w:t>
      </w:r>
      <w:r>
        <w:t>}} to have access to anything online during the school day that may distract from {{</w:t>
      </w:r>
      <w:r w:rsidRPr="00525325">
        <w:rPr>
          <w:highlight w:val="yellow"/>
        </w:rPr>
        <w:t>his/her/their</w:t>
      </w:r>
      <w:r>
        <w:t>}} studies.</w:t>
      </w:r>
    </w:p>
    <w:p w14:paraId="216BC84A" w14:textId="04068DFB" w:rsidR="00525325" w:rsidRDefault="00525325" w:rsidP="00525325">
      <w:pPr>
        <w:jc w:val="both"/>
      </w:pPr>
      <w:r>
        <w:t>Thank you for your attention to this matter, and for helping create a school environment where {{</w:t>
      </w:r>
      <w:r w:rsidRPr="00525325">
        <w:rPr>
          <w:highlight w:val="yellow"/>
        </w:rPr>
        <w:t>name</w:t>
      </w:r>
      <w:r>
        <w:t xml:space="preserve">}} can better succeed in their studies. </w:t>
      </w:r>
    </w:p>
    <w:p w14:paraId="6F60DF29" w14:textId="77777777" w:rsidR="00525325" w:rsidRDefault="00525325" w:rsidP="00525325">
      <w:pPr>
        <w:jc w:val="both"/>
      </w:pPr>
    </w:p>
    <w:p w14:paraId="2126B98D" w14:textId="13383B07" w:rsidR="00525325" w:rsidRDefault="00525325" w:rsidP="00525325">
      <w:pPr>
        <w:jc w:val="both"/>
      </w:pPr>
      <w:r>
        <w:t>Regards,</w:t>
      </w:r>
    </w:p>
    <w:p w14:paraId="1ADF91DE" w14:textId="77777777" w:rsidR="00525325" w:rsidRDefault="00525325" w:rsidP="00525325">
      <w:pPr>
        <w:jc w:val="both"/>
      </w:pPr>
    </w:p>
    <w:p w14:paraId="272CEBA4" w14:textId="7EE2E0B9" w:rsidR="00525325" w:rsidRPr="00525325" w:rsidRDefault="00525325" w:rsidP="00525325">
      <w:pPr>
        <w:jc w:val="both"/>
      </w:pPr>
      <w:r>
        <w:t>{{</w:t>
      </w:r>
      <w:r w:rsidRPr="00525325">
        <w:rPr>
          <w:highlight w:val="yellow"/>
        </w:rPr>
        <w:t>parent name</w:t>
      </w:r>
      <w:r>
        <w:t>}}</w:t>
      </w:r>
    </w:p>
    <w:sectPr w:rsidR="00525325" w:rsidRPr="005253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05DB8"/>
    <w:multiLevelType w:val="hybridMultilevel"/>
    <w:tmpl w:val="B2E0E25E"/>
    <w:lvl w:ilvl="0" w:tplc="DA56A130">
      <w:start w:val="1"/>
      <w:numFmt w:val="decimal"/>
      <w:pStyle w:val="ETLCPBdyDblnmbr"/>
      <w:lvlText w:val="%1."/>
      <w:lvlJc w:val="left"/>
      <w:pPr>
        <w:ind w:left="720" w:hanging="360"/>
      </w:pPr>
      <w:rPr>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D405D8"/>
    <w:multiLevelType w:val="hybridMultilevel"/>
    <w:tmpl w:val="1D70A9AE"/>
    <w:lvl w:ilvl="0" w:tplc="137CDFBA">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89233BE"/>
    <w:multiLevelType w:val="hybridMultilevel"/>
    <w:tmpl w:val="70E44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3549AA"/>
    <w:multiLevelType w:val="multilevel"/>
    <w:tmpl w:val="F7C6009C"/>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520" w:hanging="360"/>
      </w:p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 w15:restartNumberingAfterBreak="0">
    <w:nsid w:val="388A548C"/>
    <w:multiLevelType w:val="hybridMultilevel"/>
    <w:tmpl w:val="D8803A4E"/>
    <w:lvl w:ilvl="0" w:tplc="B1300C1C">
      <w:start w:val="1"/>
      <w:numFmt w:val="bullet"/>
      <w:pStyle w:val="ETLCPBulletDbl2"/>
      <w:lvlText w:val="○"/>
      <w:lvlJc w:val="left"/>
      <w:pPr>
        <w:ind w:left="1800" w:hanging="360"/>
      </w:pPr>
      <w:rPr>
        <w:rFonts w:ascii="Times New Roman" w:hAnsi="Times New Roman" w:cs="Times New Roman" w:hint="default"/>
      </w:rPr>
    </w:lvl>
    <w:lvl w:ilvl="1" w:tplc="2996CA76">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26C7D8A"/>
    <w:multiLevelType w:val="hybridMultilevel"/>
    <w:tmpl w:val="BED8070E"/>
    <w:lvl w:ilvl="0" w:tplc="572A5A4A">
      <w:start w:val="1"/>
      <w:numFmt w:val="bullet"/>
      <w:pStyle w:val="ETLCPBulletDbl3"/>
      <w:lvlText w:val="▬"/>
      <w:lvlJc w:val="left"/>
      <w:pPr>
        <w:ind w:left="2880" w:hanging="360"/>
      </w:pPr>
      <w:rPr>
        <w:rFonts w:ascii="Courier New" w:hAnsi="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7400782D"/>
    <w:multiLevelType w:val="hybridMultilevel"/>
    <w:tmpl w:val="4CEC75EA"/>
    <w:lvl w:ilvl="0" w:tplc="18CEFC76">
      <w:start w:val="1"/>
      <w:numFmt w:val="upperLetter"/>
      <w:pStyle w:val="ETLCPListAlpha"/>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18807710">
    <w:abstractNumId w:val="0"/>
  </w:num>
  <w:num w:numId="2" w16cid:durableId="997852323">
    <w:abstractNumId w:val="0"/>
  </w:num>
  <w:num w:numId="3" w16cid:durableId="1807233465">
    <w:abstractNumId w:val="3"/>
  </w:num>
  <w:num w:numId="4" w16cid:durableId="896009698">
    <w:abstractNumId w:val="3"/>
  </w:num>
  <w:num w:numId="5" w16cid:durableId="1904900588">
    <w:abstractNumId w:val="3"/>
  </w:num>
  <w:num w:numId="6" w16cid:durableId="688070877">
    <w:abstractNumId w:val="3"/>
  </w:num>
  <w:num w:numId="7" w16cid:durableId="519665631">
    <w:abstractNumId w:val="0"/>
  </w:num>
  <w:num w:numId="8" w16cid:durableId="164711778">
    <w:abstractNumId w:val="0"/>
  </w:num>
  <w:num w:numId="9" w16cid:durableId="1918392487">
    <w:abstractNumId w:val="3"/>
  </w:num>
  <w:num w:numId="10" w16cid:durableId="954412653">
    <w:abstractNumId w:val="3"/>
  </w:num>
  <w:num w:numId="11" w16cid:durableId="1083259980">
    <w:abstractNumId w:val="3"/>
  </w:num>
  <w:num w:numId="12" w16cid:durableId="1830825489">
    <w:abstractNumId w:val="3"/>
  </w:num>
  <w:num w:numId="13" w16cid:durableId="1595095296">
    <w:abstractNumId w:val="0"/>
  </w:num>
  <w:num w:numId="14" w16cid:durableId="1916426860">
    <w:abstractNumId w:val="0"/>
  </w:num>
  <w:num w:numId="15" w16cid:durableId="498548216">
    <w:abstractNumId w:val="1"/>
  </w:num>
  <w:num w:numId="16" w16cid:durableId="183518247">
    <w:abstractNumId w:val="4"/>
  </w:num>
  <w:num w:numId="17" w16cid:durableId="1034690198">
    <w:abstractNumId w:val="5"/>
  </w:num>
  <w:num w:numId="18" w16cid:durableId="208152447">
    <w:abstractNumId w:val="3"/>
  </w:num>
  <w:num w:numId="19" w16cid:durableId="1821001593">
    <w:abstractNumId w:val="3"/>
  </w:num>
  <w:num w:numId="20" w16cid:durableId="711463297">
    <w:abstractNumId w:val="3"/>
  </w:num>
  <w:num w:numId="21" w16cid:durableId="1204632817">
    <w:abstractNumId w:val="3"/>
  </w:num>
  <w:num w:numId="22" w16cid:durableId="908491639">
    <w:abstractNumId w:val="6"/>
  </w:num>
  <w:num w:numId="23" w16cid:durableId="17594060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C6D"/>
    <w:rsid w:val="00014DF0"/>
    <w:rsid w:val="0018547C"/>
    <w:rsid w:val="001E7482"/>
    <w:rsid w:val="002C3774"/>
    <w:rsid w:val="003C5C9D"/>
    <w:rsid w:val="003D0541"/>
    <w:rsid w:val="00424DF7"/>
    <w:rsid w:val="004564CA"/>
    <w:rsid w:val="00525325"/>
    <w:rsid w:val="005E7727"/>
    <w:rsid w:val="005F5C6D"/>
    <w:rsid w:val="0068476F"/>
    <w:rsid w:val="00783A0F"/>
    <w:rsid w:val="00856918"/>
    <w:rsid w:val="009538B1"/>
    <w:rsid w:val="00A12421"/>
    <w:rsid w:val="00A94D76"/>
    <w:rsid w:val="00B57104"/>
    <w:rsid w:val="00C83C7D"/>
    <w:rsid w:val="00DC106D"/>
    <w:rsid w:val="00E532B0"/>
    <w:rsid w:val="00E876AC"/>
    <w:rsid w:val="00F1775E"/>
    <w:rsid w:val="00F24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B30DA"/>
  <w15:chartTrackingRefBased/>
  <w15:docId w15:val="{73080C8F-C10F-4951-8629-5AB28DC66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DF0"/>
  </w:style>
  <w:style w:type="paragraph" w:styleId="Heading1">
    <w:name w:val="heading 1"/>
    <w:basedOn w:val="Normal"/>
    <w:next w:val="Normal"/>
    <w:link w:val="Heading1Char"/>
    <w:uiPriority w:val="9"/>
    <w:qFormat/>
    <w:rsid w:val="004564CA"/>
    <w:pPr>
      <w:keepNext/>
      <w:keepLines/>
      <w:numPr>
        <w:numId w:val="21"/>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64CA"/>
    <w:pPr>
      <w:keepNext/>
      <w:keepLines/>
      <w:numPr>
        <w:ilvl w:val="1"/>
        <w:numId w:val="21"/>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64CA"/>
    <w:pPr>
      <w:keepNext/>
      <w:keepLines/>
      <w:numPr>
        <w:ilvl w:val="2"/>
        <w:numId w:val="21"/>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64CA"/>
    <w:pPr>
      <w:keepNext/>
      <w:keepLines/>
      <w:numPr>
        <w:ilvl w:val="3"/>
        <w:numId w:val="2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5C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5C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5C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5C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5C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TLCPBdyDblnmbr">
    <w:name w:val="ETLC_P_Bdy_Dbl_nmbr"/>
    <w:basedOn w:val="ListParagraph"/>
    <w:link w:val="ETLCPBdyDblnmbrChar"/>
    <w:qFormat/>
    <w:rsid w:val="001E7482"/>
    <w:pPr>
      <w:widowControl w:val="0"/>
      <w:numPr>
        <w:numId w:val="14"/>
      </w:numPr>
      <w:tabs>
        <w:tab w:val="num" w:pos="360"/>
      </w:tabs>
      <w:spacing w:after="0" w:line="480" w:lineRule="exact"/>
      <w:ind w:firstLine="0"/>
      <w:jc w:val="both"/>
    </w:pPr>
    <w:rPr>
      <w:rFonts w:ascii="Times New Roman" w:hAnsi="Times New Roman" w:cs="Times New Roman"/>
      <w:sz w:val="24"/>
      <w:szCs w:val="24"/>
    </w:rPr>
  </w:style>
  <w:style w:type="character" w:customStyle="1" w:styleId="ETLCPBdyDblnmbrChar">
    <w:name w:val="ETLC_P_Bdy_Dbl_nmbr Char"/>
    <w:basedOn w:val="DefaultParagraphFont"/>
    <w:link w:val="ETLCPBdyDblnmbr"/>
    <w:rsid w:val="001E7482"/>
    <w:rPr>
      <w:rFonts w:ascii="Times New Roman" w:hAnsi="Times New Roman" w:cs="Times New Roman"/>
      <w:sz w:val="24"/>
      <w:szCs w:val="24"/>
    </w:rPr>
  </w:style>
  <w:style w:type="paragraph" w:styleId="ListParagraph">
    <w:name w:val="List Paragraph"/>
    <w:basedOn w:val="Normal"/>
    <w:uiPriority w:val="34"/>
    <w:qFormat/>
    <w:rsid w:val="004564CA"/>
    <w:pPr>
      <w:ind w:left="720"/>
      <w:contextualSpacing/>
    </w:pPr>
  </w:style>
  <w:style w:type="paragraph" w:customStyle="1" w:styleId="ETLCPBdySglnmbr">
    <w:name w:val="ETLC_P_Bdy_Sgl_nmbr"/>
    <w:basedOn w:val="ETLCPBdyDblnmbr"/>
    <w:qFormat/>
    <w:rsid w:val="001E7482"/>
    <w:pPr>
      <w:spacing w:line="240" w:lineRule="exact"/>
      <w:ind w:left="0"/>
      <w:contextualSpacing w:val="0"/>
    </w:pPr>
  </w:style>
  <w:style w:type="paragraph" w:customStyle="1" w:styleId="ETLCPBdyBlkQuot05">
    <w:name w:val="ETLC_P_Bdy_BlkQuot_0.5"/>
    <w:basedOn w:val="ETLCPBdySglnmbr"/>
    <w:qFormat/>
    <w:rsid w:val="001E7482"/>
    <w:pPr>
      <w:numPr>
        <w:numId w:val="0"/>
      </w:numPr>
      <w:spacing w:before="240"/>
      <w:ind w:left="720" w:right="720"/>
    </w:pPr>
  </w:style>
  <w:style w:type="paragraph" w:customStyle="1" w:styleId="ETLCPBdyBlkQuot10">
    <w:name w:val="ETLC_P_Bdy_BlkQuot_1.0"/>
    <w:basedOn w:val="ETLCPBdyBlkQuot05"/>
    <w:qFormat/>
    <w:rsid w:val="001E7482"/>
    <w:pPr>
      <w:ind w:left="1440" w:right="1440"/>
    </w:pPr>
  </w:style>
  <w:style w:type="paragraph" w:customStyle="1" w:styleId="ETLCPBdyDbl00">
    <w:name w:val="ETLC_P_Bdy_Dbl_0.0"/>
    <w:basedOn w:val="ETLCPBdyDblnmbr"/>
    <w:qFormat/>
    <w:rsid w:val="001E7482"/>
    <w:pPr>
      <w:numPr>
        <w:numId w:val="0"/>
      </w:numPr>
    </w:pPr>
  </w:style>
  <w:style w:type="paragraph" w:customStyle="1" w:styleId="ETLCPBdyDbl05">
    <w:name w:val="ETLC_P_Bdy_Dbl_0.5"/>
    <w:basedOn w:val="ETLCPBdyDbl00"/>
    <w:qFormat/>
    <w:rsid w:val="001E7482"/>
    <w:pPr>
      <w:ind w:firstLine="720"/>
    </w:pPr>
  </w:style>
  <w:style w:type="paragraph" w:customStyle="1" w:styleId="ETLCPBdyDbl10">
    <w:name w:val="ETLC_P_Bdy_Dbl_1.0"/>
    <w:basedOn w:val="ETLCPBdyDbl05"/>
    <w:qFormat/>
    <w:rsid w:val="001E7482"/>
    <w:pPr>
      <w:ind w:firstLine="1440"/>
    </w:pPr>
  </w:style>
  <w:style w:type="paragraph" w:customStyle="1" w:styleId="ETLCPBdyDblRt">
    <w:name w:val="ETLC_P_Bdy_Dbl_Rt"/>
    <w:basedOn w:val="ETLCPBdyDbl10"/>
    <w:qFormat/>
    <w:rsid w:val="001E7482"/>
    <w:pPr>
      <w:ind w:firstLine="0"/>
      <w:jc w:val="right"/>
    </w:pPr>
  </w:style>
  <w:style w:type="paragraph" w:customStyle="1" w:styleId="ETLCPBdySgl00">
    <w:name w:val="ETLC_P_Bdy_Sgl_0.0"/>
    <w:basedOn w:val="ETLCPBdySglnmbr"/>
    <w:qFormat/>
    <w:rsid w:val="001E7482"/>
    <w:pPr>
      <w:numPr>
        <w:numId w:val="0"/>
      </w:numPr>
    </w:pPr>
  </w:style>
  <w:style w:type="paragraph" w:customStyle="1" w:styleId="ETLCPBdySgl05">
    <w:name w:val="ETLC_P_Bdy_Sgl_0.5"/>
    <w:basedOn w:val="ETLCPBdySgl00"/>
    <w:qFormat/>
    <w:rsid w:val="001E7482"/>
    <w:pPr>
      <w:ind w:firstLine="720"/>
    </w:pPr>
  </w:style>
  <w:style w:type="paragraph" w:customStyle="1" w:styleId="ETLCPBdySgl10">
    <w:name w:val="ETLC_P_Bdy_Sgl_1.0"/>
    <w:basedOn w:val="ETLCPBdySglnmbr"/>
    <w:qFormat/>
    <w:rsid w:val="001E7482"/>
    <w:pPr>
      <w:numPr>
        <w:numId w:val="0"/>
      </w:numPr>
      <w:ind w:firstLine="1440"/>
    </w:pPr>
  </w:style>
  <w:style w:type="paragraph" w:customStyle="1" w:styleId="ETLCPCapCourt">
    <w:name w:val="ETLC_P_Cap_Court"/>
    <w:basedOn w:val="Normal"/>
    <w:qFormat/>
    <w:rsid w:val="001E7482"/>
    <w:pPr>
      <w:spacing w:after="0" w:line="240" w:lineRule="exact"/>
      <w:jc w:val="center"/>
    </w:pPr>
    <w:rPr>
      <w:rFonts w:ascii="Times New Roman" w:hAnsi="Times New Roman" w:cs="Times New Roman"/>
      <w:b/>
      <w:bCs/>
      <w:caps/>
      <w:sz w:val="24"/>
      <w:szCs w:val="24"/>
    </w:rPr>
  </w:style>
  <w:style w:type="paragraph" w:customStyle="1" w:styleId="ETLCPCapL">
    <w:name w:val="ETLC_P_Cap_L"/>
    <w:basedOn w:val="ETLCPBdySgl00"/>
    <w:qFormat/>
    <w:rsid w:val="001E7482"/>
  </w:style>
  <w:style w:type="paragraph" w:customStyle="1" w:styleId="ETLCPCapPartyCat">
    <w:name w:val="ETLC_P_Cap_Party_Cat"/>
    <w:basedOn w:val="Normal"/>
    <w:qFormat/>
    <w:rsid w:val="001E7482"/>
    <w:pPr>
      <w:ind w:left="1440"/>
    </w:pPr>
    <w:rPr>
      <w:rFonts w:ascii="Times New Roman" w:hAnsi="Times New Roman" w:cs="Times New Roman"/>
      <w:sz w:val="24"/>
      <w:szCs w:val="24"/>
    </w:rPr>
  </w:style>
  <w:style w:type="paragraph" w:customStyle="1" w:styleId="ETLCPCapPartyName">
    <w:name w:val="ETLC_P_Cap_Party_Name"/>
    <w:basedOn w:val="Normal"/>
    <w:qFormat/>
    <w:rsid w:val="001E7482"/>
    <w:pPr>
      <w:spacing w:after="0" w:line="240" w:lineRule="exact"/>
    </w:pPr>
    <w:rPr>
      <w:rFonts w:ascii="Times New Roman" w:hAnsi="Times New Roman" w:cs="Times New Roman"/>
      <w:sz w:val="24"/>
      <w:szCs w:val="24"/>
    </w:rPr>
  </w:style>
  <w:style w:type="paragraph" w:customStyle="1" w:styleId="ETLCPCapTitle">
    <w:name w:val="ETLC_P_Cap_Title"/>
    <w:basedOn w:val="Normal"/>
    <w:qFormat/>
    <w:rsid w:val="001E7482"/>
    <w:pPr>
      <w:spacing w:after="0" w:line="240" w:lineRule="exact"/>
      <w:jc w:val="center"/>
    </w:pPr>
    <w:rPr>
      <w:rFonts w:ascii="Times New Roman" w:hAnsi="Times New Roman" w:cs="Times New Roman"/>
      <w:b/>
      <w:bCs/>
      <w:caps/>
      <w:sz w:val="24"/>
      <w:szCs w:val="24"/>
      <w:u w:val="single"/>
    </w:rPr>
  </w:style>
  <w:style w:type="paragraph" w:styleId="FootnoteText">
    <w:name w:val="footnote text"/>
    <w:basedOn w:val="Normal"/>
    <w:link w:val="FootnoteTextChar"/>
    <w:uiPriority w:val="99"/>
    <w:semiHidden/>
    <w:unhideWhenUsed/>
    <w:rsid w:val="004564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64CA"/>
    <w:rPr>
      <w:sz w:val="20"/>
      <w:szCs w:val="20"/>
    </w:rPr>
  </w:style>
  <w:style w:type="paragraph" w:customStyle="1" w:styleId="ETLCPFootnote">
    <w:name w:val="ETLC_P_Footnote"/>
    <w:basedOn w:val="FootnoteText"/>
    <w:link w:val="ETLCPFootnoteChar"/>
    <w:qFormat/>
    <w:rsid w:val="004564CA"/>
  </w:style>
  <w:style w:type="character" w:customStyle="1" w:styleId="Heading1Char">
    <w:name w:val="Heading 1 Char"/>
    <w:basedOn w:val="DefaultParagraphFont"/>
    <w:link w:val="Heading1"/>
    <w:uiPriority w:val="9"/>
    <w:rsid w:val="004564CA"/>
    <w:rPr>
      <w:rFonts w:asciiTheme="majorHAnsi" w:eastAsiaTheme="majorEastAsia" w:hAnsiTheme="majorHAnsi" w:cstheme="majorBidi"/>
      <w:color w:val="0F4761" w:themeColor="accent1" w:themeShade="BF"/>
      <w:sz w:val="40"/>
      <w:szCs w:val="40"/>
    </w:rPr>
  </w:style>
  <w:style w:type="character" w:customStyle="1" w:styleId="ETLCPFootnoteChar">
    <w:name w:val="ETLC_P_Footnote Char"/>
    <w:basedOn w:val="FootnoteTextChar"/>
    <w:link w:val="ETLCPFootnote"/>
    <w:rsid w:val="004564CA"/>
    <w:rPr>
      <w:sz w:val="20"/>
      <w:szCs w:val="20"/>
    </w:rPr>
  </w:style>
  <w:style w:type="character" w:customStyle="1" w:styleId="Heading2Char">
    <w:name w:val="Heading 2 Char"/>
    <w:basedOn w:val="DefaultParagraphFont"/>
    <w:link w:val="Heading2"/>
    <w:uiPriority w:val="9"/>
    <w:semiHidden/>
    <w:rsid w:val="004564CA"/>
    <w:rPr>
      <w:rFonts w:asciiTheme="majorHAnsi" w:eastAsiaTheme="majorEastAsia" w:hAnsiTheme="majorHAnsi" w:cstheme="majorBidi"/>
      <w:color w:val="0F4761" w:themeColor="accent1" w:themeShade="BF"/>
      <w:sz w:val="32"/>
      <w:szCs w:val="32"/>
    </w:rPr>
  </w:style>
  <w:style w:type="paragraph" w:customStyle="1" w:styleId="ETLCPHeading1">
    <w:name w:val="ETLC_P_Heading_1"/>
    <w:basedOn w:val="Heading1"/>
    <w:next w:val="ETLCPBdyDblnmbr"/>
    <w:qFormat/>
    <w:rsid w:val="001E7482"/>
    <w:pPr>
      <w:spacing w:before="480" w:after="240" w:line="240" w:lineRule="exact"/>
      <w:ind w:left="720" w:hanging="720"/>
    </w:pPr>
    <w:rPr>
      <w:rFonts w:ascii="Times New Roman" w:hAnsi="Times New Roman" w:cs="Times New Roman"/>
      <w:b/>
      <w:bCs/>
      <w:color w:val="auto"/>
      <w:sz w:val="24"/>
      <w:szCs w:val="24"/>
    </w:rPr>
  </w:style>
  <w:style w:type="character" w:customStyle="1" w:styleId="Heading3Char">
    <w:name w:val="Heading 3 Char"/>
    <w:basedOn w:val="DefaultParagraphFont"/>
    <w:link w:val="Heading3"/>
    <w:uiPriority w:val="9"/>
    <w:semiHidden/>
    <w:rsid w:val="004564CA"/>
    <w:rPr>
      <w:rFonts w:eastAsiaTheme="majorEastAsia" w:cstheme="majorBidi"/>
      <w:color w:val="0F4761" w:themeColor="accent1" w:themeShade="BF"/>
      <w:sz w:val="28"/>
      <w:szCs w:val="28"/>
    </w:rPr>
  </w:style>
  <w:style w:type="paragraph" w:customStyle="1" w:styleId="ETLCPHeading2">
    <w:name w:val="ETLC_P_Heading_2"/>
    <w:basedOn w:val="Heading2"/>
    <w:next w:val="ETLCPBdyDblnmbr"/>
    <w:qFormat/>
    <w:rsid w:val="001E7482"/>
    <w:pPr>
      <w:spacing w:before="0" w:after="0" w:line="480" w:lineRule="exact"/>
      <w:ind w:hanging="720"/>
    </w:pPr>
    <w:rPr>
      <w:rFonts w:ascii="Times New Roman" w:hAnsi="Times New Roman" w:cs="Times New Roman"/>
      <w:b/>
      <w:bCs/>
      <w:color w:val="auto"/>
      <w:sz w:val="24"/>
      <w:szCs w:val="24"/>
    </w:rPr>
  </w:style>
  <w:style w:type="character" w:customStyle="1" w:styleId="Heading4Char">
    <w:name w:val="Heading 4 Char"/>
    <w:basedOn w:val="DefaultParagraphFont"/>
    <w:link w:val="Heading4"/>
    <w:uiPriority w:val="9"/>
    <w:semiHidden/>
    <w:rsid w:val="004564CA"/>
    <w:rPr>
      <w:rFonts w:eastAsiaTheme="majorEastAsia" w:cstheme="majorBidi"/>
      <w:i/>
      <w:iCs/>
      <w:color w:val="0F4761" w:themeColor="accent1" w:themeShade="BF"/>
    </w:rPr>
  </w:style>
  <w:style w:type="paragraph" w:customStyle="1" w:styleId="ETLCPHeading3">
    <w:name w:val="ETLC_P_Heading_3"/>
    <w:basedOn w:val="Heading3"/>
    <w:next w:val="ETLCPBdyDblnmbr"/>
    <w:qFormat/>
    <w:rsid w:val="001E7482"/>
    <w:pPr>
      <w:spacing w:before="0" w:after="0" w:line="480" w:lineRule="exact"/>
      <w:ind w:hanging="720"/>
      <w:jc w:val="both"/>
    </w:pPr>
    <w:rPr>
      <w:rFonts w:ascii="Times New Roman" w:hAnsi="Times New Roman" w:cs="Times New Roman"/>
      <w:b/>
      <w:bCs/>
      <w:color w:val="auto"/>
      <w:sz w:val="24"/>
      <w:szCs w:val="24"/>
    </w:rPr>
  </w:style>
  <w:style w:type="paragraph" w:customStyle="1" w:styleId="ETLCPHeading4">
    <w:name w:val="ETLC_P_Heading_4"/>
    <w:basedOn w:val="Heading4"/>
    <w:next w:val="ETLCPBdyDblnmbr"/>
    <w:qFormat/>
    <w:rsid w:val="001E7482"/>
    <w:pPr>
      <w:spacing w:before="0" w:after="0" w:line="480" w:lineRule="exact"/>
      <w:ind w:left="1440" w:hanging="720"/>
    </w:pPr>
    <w:rPr>
      <w:b/>
      <w:bCs/>
      <w:i w:val="0"/>
      <w:iCs w:val="0"/>
      <w:color w:val="auto"/>
      <w:sz w:val="24"/>
      <w:szCs w:val="24"/>
    </w:rPr>
  </w:style>
  <w:style w:type="paragraph" w:customStyle="1" w:styleId="ETLCPSectionHdg">
    <w:name w:val="ETLC_P_Section_Hdg"/>
    <w:basedOn w:val="ETLCPBdySgl00"/>
    <w:next w:val="ETLCPBdyDblnmbr"/>
    <w:qFormat/>
    <w:rsid w:val="001E7482"/>
    <w:pPr>
      <w:keepNext/>
      <w:keepLines/>
      <w:spacing w:before="480" w:after="240"/>
      <w:jc w:val="center"/>
    </w:pPr>
    <w:rPr>
      <w:b/>
      <w:caps/>
    </w:rPr>
  </w:style>
  <w:style w:type="paragraph" w:customStyle="1" w:styleId="ETLCPBulletDbl">
    <w:name w:val="ETLC_P_Bullet_Dbl"/>
    <w:basedOn w:val="Normal"/>
    <w:qFormat/>
    <w:rsid w:val="001E7482"/>
    <w:pPr>
      <w:widowControl w:val="0"/>
      <w:spacing w:after="0" w:line="480" w:lineRule="exact"/>
      <w:ind w:left="1080"/>
      <w:contextualSpacing/>
      <w:jc w:val="both"/>
    </w:pPr>
    <w:rPr>
      <w:rFonts w:ascii="Times New Roman" w:hAnsi="Times New Roman" w:cs="Times New Roman"/>
      <w:sz w:val="24"/>
      <w:szCs w:val="24"/>
    </w:rPr>
  </w:style>
  <w:style w:type="paragraph" w:customStyle="1" w:styleId="ETLCPBulletDbl2">
    <w:name w:val="ETLC_P_Bullet_Dbl2"/>
    <w:basedOn w:val="ETLCPBulletDbl"/>
    <w:qFormat/>
    <w:rsid w:val="001E7482"/>
    <w:pPr>
      <w:numPr>
        <w:numId w:val="16"/>
      </w:numPr>
    </w:pPr>
  </w:style>
  <w:style w:type="paragraph" w:customStyle="1" w:styleId="ETLCPBulletDbl3">
    <w:name w:val="ETLC_P_Bullet_Dbl3"/>
    <w:basedOn w:val="ETLCPBulletDbl2"/>
    <w:qFormat/>
    <w:rsid w:val="001E7482"/>
    <w:pPr>
      <w:numPr>
        <w:numId w:val="17"/>
      </w:numPr>
    </w:pPr>
  </w:style>
  <w:style w:type="paragraph" w:customStyle="1" w:styleId="ETLCPListAlpha">
    <w:name w:val="ETLC_P_List_Alpha"/>
    <w:basedOn w:val="ETLCPBdyDbl05"/>
    <w:qFormat/>
    <w:rsid w:val="001E7482"/>
    <w:pPr>
      <w:numPr>
        <w:numId w:val="22"/>
      </w:numPr>
    </w:pPr>
  </w:style>
  <w:style w:type="paragraph" w:customStyle="1" w:styleId="ETLCPSectionSubhdg">
    <w:name w:val="ETLC_P_Section_Subhdg"/>
    <w:basedOn w:val="ETLCPSectionHdg"/>
    <w:qFormat/>
    <w:rsid w:val="001E7482"/>
    <w:pPr>
      <w:spacing w:before="240"/>
    </w:pPr>
    <w:rPr>
      <w:bCs/>
    </w:rPr>
  </w:style>
  <w:style w:type="character" w:customStyle="1" w:styleId="Heading5Char">
    <w:name w:val="Heading 5 Char"/>
    <w:basedOn w:val="DefaultParagraphFont"/>
    <w:link w:val="Heading5"/>
    <w:uiPriority w:val="9"/>
    <w:semiHidden/>
    <w:rsid w:val="005F5C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5C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5C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5C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5C6D"/>
    <w:rPr>
      <w:rFonts w:eastAsiaTheme="majorEastAsia" w:cstheme="majorBidi"/>
      <w:color w:val="272727" w:themeColor="text1" w:themeTint="D8"/>
    </w:rPr>
  </w:style>
  <w:style w:type="paragraph" w:styleId="Title">
    <w:name w:val="Title"/>
    <w:basedOn w:val="Normal"/>
    <w:next w:val="Normal"/>
    <w:link w:val="TitleChar"/>
    <w:uiPriority w:val="10"/>
    <w:qFormat/>
    <w:rsid w:val="005F5C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5C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5C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5C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5C6D"/>
    <w:pPr>
      <w:spacing w:before="160"/>
      <w:jc w:val="center"/>
    </w:pPr>
    <w:rPr>
      <w:i/>
      <w:iCs/>
      <w:color w:val="404040" w:themeColor="text1" w:themeTint="BF"/>
    </w:rPr>
  </w:style>
  <w:style w:type="character" w:customStyle="1" w:styleId="QuoteChar">
    <w:name w:val="Quote Char"/>
    <w:basedOn w:val="DefaultParagraphFont"/>
    <w:link w:val="Quote"/>
    <w:uiPriority w:val="29"/>
    <w:rsid w:val="005F5C6D"/>
    <w:rPr>
      <w:i/>
      <w:iCs/>
      <w:color w:val="404040" w:themeColor="text1" w:themeTint="BF"/>
    </w:rPr>
  </w:style>
  <w:style w:type="character" w:styleId="IntenseEmphasis">
    <w:name w:val="Intense Emphasis"/>
    <w:basedOn w:val="DefaultParagraphFont"/>
    <w:uiPriority w:val="21"/>
    <w:qFormat/>
    <w:rsid w:val="005F5C6D"/>
    <w:rPr>
      <w:i/>
      <w:iCs/>
      <w:color w:val="0F4761" w:themeColor="accent1" w:themeShade="BF"/>
    </w:rPr>
  </w:style>
  <w:style w:type="paragraph" w:styleId="IntenseQuote">
    <w:name w:val="Intense Quote"/>
    <w:basedOn w:val="Normal"/>
    <w:next w:val="Normal"/>
    <w:link w:val="IntenseQuoteChar"/>
    <w:uiPriority w:val="30"/>
    <w:qFormat/>
    <w:rsid w:val="005F5C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5C6D"/>
    <w:rPr>
      <w:i/>
      <w:iCs/>
      <w:color w:val="0F4761" w:themeColor="accent1" w:themeShade="BF"/>
    </w:rPr>
  </w:style>
  <w:style w:type="character" w:styleId="IntenseReference">
    <w:name w:val="Intense Reference"/>
    <w:basedOn w:val="DefaultParagraphFont"/>
    <w:uiPriority w:val="32"/>
    <w:qFormat/>
    <w:rsid w:val="005F5C6D"/>
    <w:rPr>
      <w:b/>
      <w:bCs/>
      <w:smallCaps/>
      <w:color w:val="0F4761" w:themeColor="accent1" w:themeShade="BF"/>
      <w:spacing w:val="5"/>
    </w:rPr>
  </w:style>
  <w:style w:type="character" w:styleId="Hyperlink">
    <w:name w:val="Hyperlink"/>
    <w:basedOn w:val="DefaultParagraphFont"/>
    <w:uiPriority w:val="99"/>
    <w:unhideWhenUsed/>
    <w:rsid w:val="00C83C7D"/>
    <w:rPr>
      <w:color w:val="467886" w:themeColor="hyperlink"/>
      <w:u w:val="single"/>
    </w:rPr>
  </w:style>
  <w:style w:type="character" w:styleId="UnresolvedMention">
    <w:name w:val="Unresolved Mention"/>
    <w:basedOn w:val="DefaultParagraphFont"/>
    <w:uiPriority w:val="99"/>
    <w:semiHidden/>
    <w:unhideWhenUsed/>
    <w:rsid w:val="00C83C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help.roblox.com/hc/en-us/articles/30428367965460-What-happens-as-I-get-older-on-Roblo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n.help.roblox.com/hc/en-us/articles/115004647846-Roblox-Terms-of-Us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gal.epicgames.com/en-US/epicgames/tos)" TargetMode="External"/><Relationship Id="rId11" Type="http://schemas.openxmlformats.org/officeDocument/2006/relationships/hyperlink" Target="https://www.youtube.com/static?template=terms" TargetMode="External"/><Relationship Id="rId5" Type="http://schemas.openxmlformats.org/officeDocument/2006/relationships/hyperlink" Target="https://openai.com/policies/row-terms-of-use/" TargetMode="External"/><Relationship Id="rId10" Type="http://schemas.openxmlformats.org/officeDocument/2006/relationships/hyperlink" Target="https://www.microsoft.com/en-us/privacy/privacystatement" TargetMode="External"/><Relationship Id="rId4" Type="http://schemas.openxmlformats.org/officeDocument/2006/relationships/webSettings" Target="webSettings.xml"/><Relationship Id="rId9" Type="http://schemas.openxmlformats.org/officeDocument/2006/relationships/hyperlink" Target="https://www.minecraft.net/en-us/eu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3</Pages>
  <Words>966</Words>
  <Characters>5511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Liddell</dc:creator>
  <cp:keywords/>
  <dc:description/>
  <cp:lastModifiedBy>Andrew Liddell</cp:lastModifiedBy>
  <cp:revision>6</cp:revision>
  <dcterms:created xsi:type="dcterms:W3CDTF">2025-10-28T13:16:00Z</dcterms:created>
  <dcterms:modified xsi:type="dcterms:W3CDTF">2025-10-28T18:42:00Z</dcterms:modified>
</cp:coreProperties>
</file>